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C093" w14:textId="0BA5BAE2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366C63">
        <w:rPr>
          <w:rFonts w:ascii="Verdana" w:hAnsi="Verdana"/>
          <w:b/>
          <w:sz w:val="28"/>
          <w:szCs w:val="28"/>
        </w:rPr>
        <w:t>683</w:t>
      </w:r>
      <w:r w:rsidR="004C6010">
        <w:rPr>
          <w:rFonts w:ascii="Verdana" w:hAnsi="Verdana"/>
          <w:b/>
          <w:sz w:val="28"/>
          <w:szCs w:val="28"/>
        </w:rPr>
        <w:t>-П</w:t>
      </w: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489"/>
        <w:gridCol w:w="490"/>
        <w:gridCol w:w="978"/>
        <w:gridCol w:w="442"/>
        <w:gridCol w:w="537"/>
        <w:gridCol w:w="406"/>
        <w:gridCol w:w="573"/>
        <w:gridCol w:w="978"/>
        <w:gridCol w:w="490"/>
        <w:gridCol w:w="489"/>
        <w:gridCol w:w="979"/>
        <w:gridCol w:w="979"/>
      </w:tblGrid>
      <w:tr w:rsidR="00A97FD5" w:rsidRPr="00F86855" w14:paraId="7CBBB053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74D078EA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В каких платежных системах участвует проверяемая организация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535386" w:rsidRPr="00AF49D3" w14:paraId="0A8A51B5" w14:textId="77777777" w:rsidTr="00DD336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686227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DD2BD39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D3091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Платежная система Банка России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D2423" w14:textId="4BFF77DD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E901720" w14:textId="4D8BCC6A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1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D3FA40" w14:textId="77777777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411A3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КБР-Н (ССНП);</w:t>
            </w:r>
          </w:p>
          <w:p w14:paraId="33957062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КБР-СВИФТ (СПФС);</w:t>
            </w:r>
          </w:p>
          <w:p w14:paraId="07053519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СБП (быстрые платежи);</w:t>
            </w:r>
          </w:p>
        </w:tc>
      </w:tr>
      <w:tr w:rsidR="00A97FD5" w:rsidRPr="00F86855" w14:paraId="764A6015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B215F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0771E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E6BF6B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1C691C" w14:paraId="457E4E43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54FB58" w14:textId="77777777" w:rsidR="00A97FD5" w:rsidRPr="001C691C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B203B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50594B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693BFE" w14:paraId="5CD507A9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4D23" w14:textId="77777777" w:rsidR="00A97FD5" w:rsidRPr="00693BFE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E445AEE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93D753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SWIFT </w:t>
            </w:r>
            <w:proofErr w:type="spellStart"/>
            <w:r w:rsidRPr="00F86855">
              <w:rPr>
                <w:sz w:val="20"/>
              </w:rPr>
              <w:t>Net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891CD" w14:textId="5B85D57F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2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BE28B0" w14:textId="77777777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2B98CB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Да;</w:t>
            </w:r>
          </w:p>
          <w:p w14:paraId="5D9167B4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Нет;</w:t>
            </w:r>
          </w:p>
        </w:tc>
      </w:tr>
      <w:tr w:rsidR="00535386" w:rsidRPr="00693BFE" w14:paraId="1F2ADC9F" w14:textId="77777777" w:rsidTr="0086010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3494" w14:textId="77777777" w:rsidR="00535386" w:rsidRPr="00693BFE" w:rsidRDefault="00535386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DF23CA" w14:paraId="7E731808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E84D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Платежные системы пластиковых карт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B3E71" w14:textId="77777777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08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B374513" w14:textId="77777777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41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261C370" w14:textId="77777777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19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93A237" w14:textId="48179042" w:rsidR="00A97FD5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185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9C2DBA4" w14:textId="77777777" w:rsidR="00A97FD5" w:rsidRPr="004A2392" w:rsidRDefault="00117729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284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370FD3E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</w:rPr>
              <w:t>Мир</w:t>
            </w:r>
            <w:r w:rsidRPr="00F86855">
              <w:rPr>
                <w:sz w:val="20"/>
                <w:lang w:val="en-US"/>
              </w:rPr>
              <w:t>;</w:t>
            </w:r>
          </w:p>
          <w:p w14:paraId="40B0051F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Visa;</w:t>
            </w:r>
          </w:p>
          <w:p w14:paraId="3BC148AF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JCB;</w:t>
            </w:r>
          </w:p>
          <w:p w14:paraId="010E33ED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 xml:space="preserve">MasterCard; </w:t>
            </w:r>
          </w:p>
          <w:p w14:paraId="18EAB01D" w14:textId="77777777" w:rsidR="00A97FD5" w:rsidRPr="004A2392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UnionPay;</w:t>
            </w:r>
          </w:p>
        </w:tc>
      </w:tr>
      <w:tr w:rsidR="00A97FD5" w:rsidRPr="004A2392" w14:paraId="09D9323A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6DEBE6" w14:textId="77777777" w:rsidR="00A97FD5" w:rsidRPr="004A2392" w:rsidRDefault="00A97FD5" w:rsidP="00C73AB1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FF9186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7E99A5" w14:textId="4B0607BF" w:rsidR="00A97FD5" w:rsidRPr="00135A41" w:rsidRDefault="00A97FD5" w:rsidP="00C73AB1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A97FD5" w:rsidRPr="001C691C" w14:paraId="0D7D62AE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8821B" w14:textId="77777777" w:rsidR="00A97FD5" w:rsidRPr="00135A41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543801" w14:textId="77777777" w:rsidR="00A97FD5" w:rsidRPr="00135A41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52AF2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693BFE" w14:paraId="01D74152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6A21" w14:textId="77777777" w:rsidR="00A97FD5" w:rsidRPr="00693BFE" w:rsidRDefault="00A97FD5" w:rsidP="00C73AB1">
            <w:pPr>
              <w:jc w:val="both"/>
              <w:outlineLvl w:val="2"/>
              <w:rPr>
                <w:sz w:val="4"/>
                <w:szCs w:val="4"/>
                <w:lang w:val="en-US"/>
              </w:rPr>
            </w:pPr>
          </w:p>
        </w:tc>
      </w:tr>
      <w:tr w:rsidR="00A97FD5" w:rsidRPr="00F86855" w14:paraId="76711E73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18549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Иные платежные системы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931898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32325E3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1C691C" w14:paraId="0A178432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AA14D3" w14:textId="77777777" w:rsidR="00A97FD5" w:rsidRPr="001C691C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EDDBA9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0C9B8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535386" w:rsidRPr="00535386" w14:paraId="33AC2D45" w14:textId="77777777" w:rsidTr="00A06FE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184D" w14:textId="77777777" w:rsidR="00535386" w:rsidRPr="00535386" w:rsidRDefault="00535386" w:rsidP="00535386">
            <w:pPr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26C553B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F518E19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собственные платежные системы?</w:t>
            </w:r>
          </w:p>
        </w:tc>
      </w:tr>
      <w:tr w:rsidR="00535386" w:rsidRPr="00AF49D3" w14:paraId="79717839" w14:textId="77777777" w:rsidTr="0031703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29460E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6B96AF1" w14:textId="77777777" w:rsidTr="0053538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E2DB4" w14:textId="77777777" w:rsidR="00A97FD5" w:rsidRDefault="00117729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CC03C5" w14:textId="25213404" w:rsidR="00A97FD5" w:rsidRPr="00F86855" w:rsidRDefault="00117729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F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1600343" w14:textId="77777777" w:rsidTr="00A06FE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48793E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27411A2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B69DC9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Роли проверяемой организации в платежных системах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4FCBD457" w:rsidR="00693BFE" w:rsidRPr="006D4BC9" w:rsidRDefault="00117729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Оператор платежной системы</w:t>
            </w:r>
          </w:p>
          <w:p w14:paraId="431ECA54" w14:textId="77777777" w:rsidR="00693BFE" w:rsidRPr="006D4BC9" w:rsidRDefault="00117729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Оператор по переводу денежных средств</w:t>
            </w:r>
          </w:p>
          <w:p w14:paraId="1EDF767C" w14:textId="0F44C09A" w:rsidR="00A97FD5" w:rsidRDefault="00117729" w:rsidP="00693BF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Оператор услуг платежной инфраструктуры</w:t>
            </w:r>
          </w:p>
        </w:tc>
      </w:tr>
      <w:tr w:rsidR="00A97FD5" w:rsidRPr="00F86855" w14:paraId="013C5143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53538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1702A875" w:rsidR="00A97FD5" w:rsidRDefault="00117729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117729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Приложения по переводу ДС</w:t>
            </w:r>
          </w:p>
        </w:tc>
      </w:tr>
      <w:tr w:rsidR="00A97FD5" w:rsidRPr="000F7789" w14:paraId="75C70B3E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77777777" w:rsidR="00A97FD5" w:rsidRPr="0049363D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Роль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77777777" w:rsidR="00A97FD5" w:rsidRPr="00155EC7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Наименование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АБС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6BE58A9B" w:rsidR="00A97FD5" w:rsidRPr="00135A41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E93D0C" w14:paraId="728D8238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Интернет-банк</w:t>
            </w:r>
            <w:r w:rsidRPr="00EE1ED6">
              <w:rPr>
                <w:sz w:val="20"/>
              </w:rPr>
              <w:t xml:space="preserve"> </w:t>
            </w:r>
            <w:r w:rsidRPr="0049363D">
              <w:rPr>
                <w:sz w:val="20"/>
              </w:rPr>
              <w:t>(ДБО, веб-приложения)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2F04F2DB" w:rsidR="00A97FD5" w:rsidRPr="008E7B6C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D7C9249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825FB22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50F0355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Процессинговое ПО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FF9C8F" w14:textId="19E190CC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6D47A1C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01161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1BFE5BAA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015826A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Приложения сегмента SWIFT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390EED" w14:textId="599DE831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B27BFB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F39C4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71ED473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4BDE0021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6D2B106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Количество банкоматов/платежных терминалов</w:t>
            </w:r>
          </w:p>
        </w:tc>
      </w:tr>
      <w:tr w:rsidR="00A97FD5" w:rsidRPr="00EE1ED6" w14:paraId="0F35519C" w14:textId="77777777" w:rsidTr="000616D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7E0BC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52EBABA" w14:textId="77777777" w:rsidTr="000616DD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8881D3" w14:textId="77777777" w:rsidR="00A97FD5" w:rsidRPr="00350D3A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E93F51" w14:textId="41640713" w:rsidR="00A97FD5" w:rsidRPr="00135A41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A239B0A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BE432C" w14:textId="77777777" w:rsidR="00A97FD5" w:rsidRPr="00EE1ED6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57C931A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0E5E6EB1" w14:textId="761796C3" w:rsidR="001821D6" w:rsidRPr="001821D6" w:rsidRDefault="001821D6" w:rsidP="001821D6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0" w:name="_Hlk45118913"/>
            <w:r w:rsidRPr="001821D6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bookmarkEnd w:id="0"/>
      <w:tr w:rsidR="001821D6" w:rsidRPr="001821D6" w14:paraId="1A76F273" w14:textId="77777777" w:rsidTr="005845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3A1CFD" w14:textId="77777777" w:rsidR="001821D6" w:rsidRPr="001821D6" w:rsidRDefault="001821D6" w:rsidP="00C73AB1">
            <w:pPr>
              <w:jc w:val="both"/>
              <w:outlineLvl w:val="2"/>
              <w:rPr>
                <w:sz w:val="8"/>
                <w:szCs w:val="10"/>
              </w:rPr>
            </w:pPr>
          </w:p>
        </w:tc>
      </w:tr>
      <w:tr w:rsidR="001821D6" w:rsidRPr="00F86855" w14:paraId="34B0D77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872C8BC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71ED7E" w14:textId="2C346842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598DF8D1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281A83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3FB4EC3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F8F54D5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98EC7B" w14:textId="50CF1012" w:rsidR="001821D6" w:rsidRPr="00135A41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49F9B135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486FE6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7171FA6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F21A242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0F2E59" w14:textId="7190886F" w:rsidR="001821D6" w:rsidRPr="00135A41" w:rsidRDefault="001821D6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1821D6" w:rsidRPr="001821D6" w14:paraId="4521B77B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F73FF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6387840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A04FEF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E8C984" w14:textId="32A86539" w:rsidR="00135A41" w:rsidRPr="00135A41" w:rsidRDefault="00135A41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66F619CC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6584C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71507535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C2CF3E8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290277" w14:textId="013FF7A7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20EEF3C8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8D6881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1567380B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FD8DA2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84B6D8" w14:textId="0E0C8123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1454442A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5B7997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25EB2FB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A0FA209" w14:textId="77777777" w:rsidR="001821D6" w:rsidRPr="001821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29DC0A" w14:textId="10C2C96D" w:rsidR="001821D6" w:rsidRPr="008E7B6C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3C118980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872E8B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4BFEC97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F4CDC7E" w14:textId="77777777" w:rsidR="001821D6" w:rsidRPr="001821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78EBE7" w14:textId="32DAC9EA" w:rsidR="001821D6" w:rsidRPr="001821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18733626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5F8B64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4303DDC5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0E98468" w14:textId="77777777" w:rsidR="001821D6" w:rsidRPr="001821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7184E3" w14:textId="0AC489DC" w:rsidR="001821D6" w:rsidRPr="001821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56E82FAB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856107" w14:textId="77777777" w:rsidR="001821D6" w:rsidRPr="001821D6" w:rsidRDefault="001821D6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1023969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693BAF" w14:textId="77777777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698F466B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2FFC758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 w:rsidR="00C84AD1">
              <w:rPr>
                <w:rFonts w:asciiTheme="minorHAnsi" w:hAnsiTheme="minorHAnsi"/>
                <w:color w:val="FFFFFF" w:themeColor="background1"/>
                <w:sz w:val="20"/>
              </w:rPr>
              <w:t>/</w:t>
            </w:r>
            <w:r w:rsidR="009B1BDF">
              <w:rPr>
                <w:rFonts w:asciiTheme="minorHAnsi" w:hAnsiTheme="minorHAnsi"/>
                <w:color w:val="FFFFFF" w:themeColor="background1"/>
                <w:sz w:val="20"/>
              </w:rPr>
              <w:t>самооценки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C84AD1">
              <w:rPr>
                <w:rFonts w:asciiTheme="minorHAnsi" w:hAnsiTheme="minorHAnsi"/>
                <w:color w:val="FFFFFF" w:themeColor="background1"/>
                <w:sz w:val="20"/>
              </w:rPr>
              <w:t>(если ранее не проводилась по ГОСТ 57580, указать по 382-П)</w:t>
            </w:r>
          </w:p>
        </w:tc>
      </w:tr>
      <w:tr w:rsidR="00A97FD5" w:rsidRPr="00EE1ED6" w14:paraId="259C8B65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0554E9B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42974" w14:textId="3A364C4A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6636B" w14:textId="50198335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64DD8" w14:textId="7DCB62C4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36B8A" w:rsidRPr="00736B8A" w14:paraId="5BD5A826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2E64585A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014E75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4E0CE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952976" w14:textId="6DDE2CAD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91274DC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77363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D78007F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6D2EF66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5E3CC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0A7D5B" w14:textId="0ABFA9E8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2FDE4A26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51A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6DA7D822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4D4170" w14:textId="6DC72E80" w:rsidR="00736B8A" w:rsidRDefault="00736B8A" w:rsidP="00736B8A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70747F" w14:textId="0D4FD618" w:rsidR="00736B8A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B21A4E" w14:textId="4AD51848" w:rsidR="00736B8A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36B8A" w:rsidRPr="00736B8A" w14:paraId="0B7F1C6E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108304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64AE75F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D0EA5A7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EE3B77" w14:textId="0E80EE2A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68A33A" w14:textId="63046046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1710EC99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BAB2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7F0E1CFA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6186A3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20B7D2B" w14:textId="305BF446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1E7227" w14:textId="1ACFD42D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381FA57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739E06" w14:textId="0EDA1633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0175F18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1573" w14:paraId="7DB6E3A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4C03B7D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736B8A" w:rsidRPr="00EE1ED6" w14:paraId="347D70F3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736B8A" w:rsidRPr="00EE1ED6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71503949" w14:textId="77777777" w:rsidTr="00736B8A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2D6BE" w14:textId="77777777" w:rsidR="00736B8A" w:rsidRDefault="00117729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2745" w14:textId="68DAC4B6" w:rsidR="00736B8A" w:rsidRPr="00EE1ED6" w:rsidRDefault="00117729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Нет</w:t>
            </w:r>
          </w:p>
        </w:tc>
      </w:tr>
      <w:tr w:rsidR="00736B8A" w:rsidRPr="00401573" w14:paraId="38CBE48B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A502A1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B8975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736B8A" w:rsidRPr="00401573" w14:paraId="076DC60C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F62AC02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5E68C2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53793A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074F2F9B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E5A74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0E6D85E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3E1F480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736B8A" w:rsidRPr="000C7C5B" w14:paraId="6EFBE645" w14:textId="77777777" w:rsidTr="000469BC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469BC" w:rsidRPr="00F86855" w14:paraId="68AD3269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2959706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A362B9A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0469BC" w:rsidRPr="00F86855" w14:paraId="3224E839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0767A3D2" w:rsidR="000469BC" w:rsidRPr="00EE1ED6" w:rsidRDefault="00A5599D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2BB96648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0469BC" w:rsidRPr="000469BC" w14:paraId="26FCD1E1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40CF386" w14:textId="77777777" w:rsidTr="000469BC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34AC591A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FE73A18" w14:textId="45141428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736B8A" w:rsidRPr="000C7C5B" w14:paraId="694F4B90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52C1EB7C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736B8A" w:rsidRDefault="00117729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10</w:t>
            </w:r>
          </w:p>
        </w:tc>
      </w:tr>
      <w:tr w:rsidR="00736B8A" w:rsidRPr="000F7789" w14:paraId="3ECF0107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736B8A" w:rsidRPr="000F7789" w:rsidRDefault="00736B8A" w:rsidP="00736B8A">
            <w:pPr>
              <w:outlineLvl w:val="2"/>
              <w:rPr>
                <w:sz w:val="8"/>
                <w:szCs w:val="8"/>
              </w:rPr>
            </w:pPr>
          </w:p>
        </w:tc>
      </w:tr>
      <w:tr w:rsidR="00736B8A" w:rsidRPr="000F7789" w14:paraId="5A8EAE4F" w14:textId="77777777" w:rsidTr="00736B8A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736B8A" w:rsidRPr="00D93315" w:rsidRDefault="00736B8A" w:rsidP="00736B8A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736B8A" w:rsidRPr="00D93315" w:rsidRDefault="00736B8A" w:rsidP="00736B8A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736B8A" w:rsidRPr="00F86855" w14:paraId="5F0C756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753A1054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0209AC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736B8A" w:rsidRPr="000C7C5B" w14:paraId="18692F3B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0BF12533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77777777" w:rsidR="00736B8A" w:rsidRPr="00354232" w:rsidRDefault="00736B8A" w:rsidP="000469BC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683</w:t>
            </w:r>
            <w:r w:rsidRPr="00354232">
              <w:rPr>
                <w:b/>
                <w:sz w:val="20"/>
              </w:rPr>
              <w:t>-П:</w:t>
            </w:r>
          </w:p>
          <w:p w14:paraId="09F28C5C" w14:textId="79E197DA" w:rsidR="00736B8A" w:rsidRPr="00AB5C1D" w:rsidRDefault="00117729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F05292">
              <w:rPr>
                <w:rFonts w:ascii="Verdana" w:hAnsi="Verdana" w:cs="Verdana"/>
                <w:sz w:val="20"/>
              </w:rPr>
              <w:t>оценка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38FF62B7" w14:textId="27B2FFC5" w:rsidR="00736B8A" w:rsidRPr="00AB5C1D" w:rsidRDefault="00117729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приведению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в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736B8A" w:rsidRPr="00AB5C1D">
              <w:rPr>
                <w:sz w:val="20"/>
              </w:rPr>
              <w:t>;</w:t>
            </w:r>
          </w:p>
          <w:p w14:paraId="387AD049" w14:textId="191BB5BC" w:rsidR="00736B8A" w:rsidRPr="00AB5C1D" w:rsidRDefault="00117729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736B8A" w:rsidRPr="00AB5C1D">
              <w:rPr>
                <w:sz w:val="20"/>
              </w:rPr>
              <w:t>;</w:t>
            </w:r>
          </w:p>
          <w:p w14:paraId="5A955723" w14:textId="43317E90" w:rsidR="00736B8A" w:rsidRPr="00AB5C1D" w:rsidRDefault="00117729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подготовкой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отчетной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для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Банка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736B8A" w:rsidRPr="00AB5C1D">
              <w:rPr>
                <w:sz w:val="20"/>
              </w:rPr>
              <w:t>;</w:t>
            </w:r>
          </w:p>
          <w:p w14:paraId="699EA1CF" w14:textId="440FA5E8" w:rsidR="00736B8A" w:rsidRPr="00AB5C1D" w:rsidRDefault="00117729" w:rsidP="000469BC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683-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 ФСБ, 63-ФЗ);</w:t>
            </w:r>
          </w:p>
          <w:p w14:paraId="33BD9B07" w14:textId="1D404631" w:rsidR="00736B8A" w:rsidRPr="00EE1ED6" w:rsidRDefault="00117729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573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736B8A" w:rsidRPr="00AB5C1D">
              <w:rPr>
                <w:sz w:val="20"/>
              </w:rPr>
              <w:t xml:space="preserve">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683-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736B8A">
              <w:rPr>
                <w:rFonts w:ascii="Verdana" w:hAnsi="Verdana" w:cs="Verdana"/>
                <w:sz w:val="20"/>
              </w:rPr>
              <w:t xml:space="preserve"> ФСБ, 63-ФЗ)</w:t>
            </w:r>
            <w:r w:rsidR="00736B8A" w:rsidRPr="00F05292">
              <w:rPr>
                <w:sz w:val="20"/>
              </w:rPr>
              <w:t>;</w:t>
            </w:r>
          </w:p>
        </w:tc>
      </w:tr>
      <w:tr w:rsidR="00AB5C1D" w:rsidRPr="007170FE" w14:paraId="77B36E9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EF5598" w14:textId="77777777" w:rsidR="00AB5C1D" w:rsidRPr="007170FE" w:rsidRDefault="00AB5C1D" w:rsidP="00736B8A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AB5C1D" w:rsidRPr="00F86855" w14:paraId="6C24194C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C35F" w14:textId="77777777" w:rsidR="00AB5C1D" w:rsidRPr="00354232" w:rsidRDefault="00AB5C1D" w:rsidP="000469BC">
            <w:pPr>
              <w:ind w:left="292" w:hanging="292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0160D394" w14:textId="77777777" w:rsidR="00AB5C1D" w:rsidRPr="00F05292" w:rsidRDefault="00117729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на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и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анализа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AB5C1D" w:rsidRPr="00F05292">
              <w:rPr>
                <w:sz w:val="20"/>
              </w:rPr>
              <w:t>;</w:t>
            </w:r>
          </w:p>
          <w:p w14:paraId="4DA01C48" w14:textId="77777777" w:rsidR="00AB5C1D" w:rsidRDefault="00117729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платежного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r w:rsidR="00AB5C1D" w:rsidRPr="00F05292">
              <w:rPr>
                <w:sz w:val="20"/>
              </w:rPr>
              <w:t xml:space="preserve"> </w:t>
            </w:r>
            <w:proofErr w:type="spellStart"/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ОУД</w:t>
            </w:r>
            <w:r w:rsidR="00AB5C1D" w:rsidRPr="00F05292">
              <w:rPr>
                <w:sz w:val="20"/>
              </w:rPr>
              <w:t>4;</w:t>
            </w:r>
          </w:p>
          <w:p w14:paraId="05ECE544" w14:textId="6CD676AD" w:rsidR="00DF23CA" w:rsidRPr="00AB5C1D" w:rsidRDefault="00DF23CA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sz w:val="20"/>
              </w:rPr>
              <w:t xml:space="preserve"> </w:t>
            </w:r>
            <w:r w:rsidRPr="00F150A1">
              <w:rPr>
                <w:sz w:val="20"/>
              </w:rPr>
              <w:t>Разработка модели угроз по новой методике ФСТЭК</w:t>
            </w:r>
            <w:r>
              <w:rPr>
                <w:sz w:val="20"/>
              </w:rPr>
              <w:t>;</w:t>
            </w:r>
            <w:bookmarkStart w:id="1" w:name="_GoBack"/>
            <w:bookmarkEnd w:id="1"/>
          </w:p>
        </w:tc>
      </w:tr>
      <w:tr w:rsidR="00AB5C1D" w:rsidRPr="007170FE" w14:paraId="7A8B24D9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E9C6" w14:textId="77777777" w:rsidR="00AB5C1D" w:rsidRPr="007170FE" w:rsidRDefault="00AB5C1D" w:rsidP="00736B8A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AB5C1D" w:rsidRPr="00F86855" w14:paraId="6AD9FEE0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988F7" w14:textId="77777777" w:rsidR="00AB5C1D" w:rsidRPr="00354232" w:rsidRDefault="00AB5C1D" w:rsidP="000469BC">
            <w:pPr>
              <w:ind w:left="320" w:hanging="320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41286F01" w14:textId="5A008A82" w:rsidR="00AB5C1D" w:rsidRPr="00F05292" w:rsidRDefault="00117729" w:rsidP="000469BC">
            <w:pPr>
              <w:ind w:left="320" w:hanging="32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требованиям</w:t>
            </w:r>
            <w:r w:rsidR="00AB5C1D" w:rsidRPr="00F05292">
              <w:rPr>
                <w:sz w:val="20"/>
              </w:rPr>
              <w:t xml:space="preserve"> </w:t>
            </w:r>
            <w:r w:rsidR="008E7B6C">
              <w:rPr>
                <w:sz w:val="20"/>
              </w:rPr>
              <w:t>747</w:t>
            </w:r>
            <w:r w:rsidR="00AB5C1D" w:rsidRPr="00F05292">
              <w:rPr>
                <w:sz w:val="20"/>
              </w:rPr>
              <w:t>-</w:t>
            </w:r>
            <w:r w:rsidR="00AB5C1D" w:rsidRPr="00F05292">
              <w:rPr>
                <w:rFonts w:ascii="Verdana" w:hAnsi="Verdana" w:cs="Verdana"/>
                <w:sz w:val="20"/>
              </w:rPr>
              <w:t>П</w:t>
            </w:r>
            <w:r w:rsidR="00AB5C1D" w:rsidRPr="00F05292">
              <w:rPr>
                <w:sz w:val="20"/>
              </w:rPr>
              <w:t>;</w:t>
            </w:r>
          </w:p>
          <w:p w14:paraId="079E9C2C" w14:textId="47375C32" w:rsidR="00AB5C1D" w:rsidRDefault="00117729" w:rsidP="000469BC">
            <w:pPr>
              <w:ind w:left="320" w:hanging="320"/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требованиям</w:t>
            </w:r>
            <w:r w:rsidR="00AB5C1D" w:rsidRPr="00F05292">
              <w:rPr>
                <w:sz w:val="20"/>
              </w:rPr>
              <w:t xml:space="preserve"> </w:t>
            </w:r>
            <w:r w:rsidR="00AB5C1D">
              <w:rPr>
                <w:sz w:val="20"/>
              </w:rPr>
              <w:t>382</w:t>
            </w:r>
            <w:r w:rsidR="00AB5C1D" w:rsidRPr="00F05292">
              <w:rPr>
                <w:sz w:val="20"/>
              </w:rPr>
              <w:t>-</w:t>
            </w:r>
            <w:r w:rsidR="00AB5C1D" w:rsidRPr="00F05292">
              <w:rPr>
                <w:rFonts w:ascii="Verdana" w:hAnsi="Verdana" w:cs="Verdana"/>
                <w:sz w:val="20"/>
              </w:rPr>
              <w:t>П</w:t>
            </w:r>
            <w:r w:rsidR="00AB5C1D">
              <w:rPr>
                <w:sz w:val="20"/>
              </w:rPr>
              <w:t>.</w:t>
            </w:r>
          </w:p>
        </w:tc>
      </w:tr>
      <w:tr w:rsidR="00736B8A" w:rsidRPr="00F86855" w14:paraId="7D55786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736B8A" w:rsidRDefault="00736B8A" w:rsidP="00736B8A">
            <w:pPr>
              <w:outlineLvl w:val="2"/>
              <w:rPr>
                <w:sz w:val="20"/>
              </w:rPr>
            </w:pPr>
          </w:p>
        </w:tc>
      </w:tr>
      <w:tr w:rsidR="00736B8A" w:rsidRPr="00F86855" w14:paraId="62459A00" w14:textId="77777777" w:rsidTr="00FB7F3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2FA2AB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2D8E" w14:textId="77777777" w:rsidR="00117729" w:rsidRDefault="00117729" w:rsidP="00806F2B">
      <w:pPr>
        <w:spacing w:after="0" w:line="240" w:lineRule="auto"/>
      </w:pPr>
      <w:r>
        <w:separator/>
      </w:r>
    </w:p>
  </w:endnote>
  <w:endnote w:type="continuationSeparator" w:id="0">
    <w:p w14:paraId="5732F8C0" w14:textId="77777777" w:rsidR="00117729" w:rsidRDefault="00117729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AC63" w14:textId="77777777" w:rsidR="00117729" w:rsidRDefault="00117729" w:rsidP="00806F2B">
      <w:pPr>
        <w:spacing w:after="0" w:line="240" w:lineRule="auto"/>
      </w:pPr>
      <w:r>
        <w:separator/>
      </w:r>
    </w:p>
  </w:footnote>
  <w:footnote w:type="continuationSeparator" w:id="0">
    <w:p w14:paraId="200236AE" w14:textId="77777777" w:rsidR="00117729" w:rsidRDefault="00117729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84F" w14:textId="13739A8D" w:rsidR="007D417E" w:rsidRDefault="00FD4E0E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FD4E0E">
      <w:rPr>
        <w:rFonts w:ascii="Verdana" w:hAnsi="Verdana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58AD7DF" wp14:editId="41486B20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59675" cy="10795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6CE7361" id="Прямоугольник 3" o:spid="_x0000_s1026" style="position:absolute;margin-left:.3pt;margin-top:-14.3pt;width:595.25pt;height: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FD4E0E">
      <w:rPr>
        <w:rFonts w:ascii="Verdana" w:hAnsi="Verdana"/>
        <w:noProof/>
        <w:color w:val="FFFFFF" w:themeColor="background1"/>
        <w:sz w:val="20"/>
        <w:szCs w:val="20"/>
      </w:rPr>
      <w:drawing>
        <wp:anchor distT="0" distB="0" distL="114300" distR="114300" simplePos="0" relativeHeight="251670528" behindDoc="0" locked="0" layoutInCell="1" allowOverlap="1" wp14:anchorId="5C480613" wp14:editId="022EB9E2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632" cy="54000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3617780D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538F4A0D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197</w:t>
    </w:r>
    <w:r w:rsidR="00FD4E0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64</w:t>
    </w:r>
    <w:r w:rsidR="00FD4E0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469BC"/>
    <w:rsid w:val="000616DD"/>
    <w:rsid w:val="000A0312"/>
    <w:rsid w:val="000A1547"/>
    <w:rsid w:val="000A1EED"/>
    <w:rsid w:val="00117729"/>
    <w:rsid w:val="00135A41"/>
    <w:rsid w:val="00135BAE"/>
    <w:rsid w:val="001821D6"/>
    <w:rsid w:val="001C691C"/>
    <w:rsid w:val="001D1FDC"/>
    <w:rsid w:val="0022111A"/>
    <w:rsid w:val="00231EC3"/>
    <w:rsid w:val="00354232"/>
    <w:rsid w:val="00366C63"/>
    <w:rsid w:val="00462278"/>
    <w:rsid w:val="004C6010"/>
    <w:rsid w:val="004E3E04"/>
    <w:rsid w:val="0052233B"/>
    <w:rsid w:val="00535386"/>
    <w:rsid w:val="00547CE1"/>
    <w:rsid w:val="00564B70"/>
    <w:rsid w:val="005845D6"/>
    <w:rsid w:val="005D1FCC"/>
    <w:rsid w:val="00631A09"/>
    <w:rsid w:val="00693BFE"/>
    <w:rsid w:val="007170FE"/>
    <w:rsid w:val="00725AC3"/>
    <w:rsid w:val="00725CB3"/>
    <w:rsid w:val="00736B8A"/>
    <w:rsid w:val="007713E0"/>
    <w:rsid w:val="007D417E"/>
    <w:rsid w:val="007E05A3"/>
    <w:rsid w:val="00806F2B"/>
    <w:rsid w:val="008338D7"/>
    <w:rsid w:val="008A49C7"/>
    <w:rsid w:val="008C446B"/>
    <w:rsid w:val="008E08C0"/>
    <w:rsid w:val="008E7B6C"/>
    <w:rsid w:val="0093508D"/>
    <w:rsid w:val="009923D6"/>
    <w:rsid w:val="009A3CF7"/>
    <w:rsid w:val="009B1BDF"/>
    <w:rsid w:val="009C0F80"/>
    <w:rsid w:val="009C76BF"/>
    <w:rsid w:val="009F1CE1"/>
    <w:rsid w:val="00A03234"/>
    <w:rsid w:val="00A06FE1"/>
    <w:rsid w:val="00A10A3A"/>
    <w:rsid w:val="00A5496E"/>
    <w:rsid w:val="00A5599D"/>
    <w:rsid w:val="00A97FD5"/>
    <w:rsid w:val="00AB3A87"/>
    <w:rsid w:val="00AB5C1D"/>
    <w:rsid w:val="00AD7F25"/>
    <w:rsid w:val="00B42CC1"/>
    <w:rsid w:val="00C35171"/>
    <w:rsid w:val="00C75C1A"/>
    <w:rsid w:val="00C84AD1"/>
    <w:rsid w:val="00CB3361"/>
    <w:rsid w:val="00D34DE0"/>
    <w:rsid w:val="00D93315"/>
    <w:rsid w:val="00DB288B"/>
    <w:rsid w:val="00DF23CA"/>
    <w:rsid w:val="00E31F39"/>
    <w:rsid w:val="00E7164E"/>
    <w:rsid w:val="00E7332D"/>
    <w:rsid w:val="00E91F3D"/>
    <w:rsid w:val="00EC1D64"/>
    <w:rsid w:val="00F10B7D"/>
    <w:rsid w:val="00FB7F3B"/>
    <w:rsid w:val="00FD4E0E"/>
    <w:rsid w:val="00FE606C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20</cp:revision>
  <cp:lastPrinted>2019-11-06T08:24:00Z</cp:lastPrinted>
  <dcterms:created xsi:type="dcterms:W3CDTF">2019-11-06T07:13:00Z</dcterms:created>
  <dcterms:modified xsi:type="dcterms:W3CDTF">2021-04-27T06:52:00Z</dcterms:modified>
</cp:coreProperties>
</file>